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02479</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w:t>
      </w:r>
      <w:proofErr w:type="gramStart"/>
      <w:r w:rsidRPr="0001046D">
        <w:rPr>
          <w:rFonts w:ascii="Palatino Linotype" w:hAnsi="Palatino Linotype" w:cs="Arial"/>
          <w:sz w:val="24"/>
          <w:szCs w:val="24"/>
        </w:rPr>
        <w:t>igualdad</w:t>
      </w:r>
      <w:proofErr w:type="gramEnd"/>
      <w:r w:rsidRPr="0001046D">
        <w:rPr>
          <w:rFonts w:ascii="Palatino Linotype" w:hAnsi="Palatino Linotype" w:cs="Arial"/>
          <w:sz w:val="24"/>
          <w:szCs w:val="24"/>
        </w:rPr>
        <w:t xml:space="preserve">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A71441" w:rsidRDefault="0046491C" w:rsidP="00EA2C08">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23565936" w:history="1">
            <w:r w:rsidR="00A71441" w:rsidRPr="000E5F0E">
              <w:rPr>
                <w:rStyle w:val="Hipervnculo"/>
                <w:rFonts w:ascii="Palatino Linotype" w:hAnsi="Palatino Linotype"/>
                <w:b/>
                <w:noProof/>
              </w:rPr>
              <w:t>I.</w:t>
            </w:r>
            <w:r w:rsidR="00A71441">
              <w:rPr>
                <w:rFonts w:eastAsiaTheme="minorEastAsia"/>
                <w:noProof/>
                <w:lang w:eastAsia="es-MX"/>
              </w:rPr>
              <w:tab/>
            </w:r>
            <w:r w:rsidR="00A71441" w:rsidRPr="000E5F0E">
              <w:rPr>
                <w:rStyle w:val="Hipervnculo"/>
                <w:rFonts w:ascii="Palatino Linotype" w:hAnsi="Palatino Linotype"/>
                <w:b/>
                <w:noProof/>
              </w:rPr>
              <w:t>Consideraciones Generales.</w:t>
            </w:r>
            <w:r w:rsidR="00A71441">
              <w:rPr>
                <w:noProof/>
                <w:webHidden/>
              </w:rPr>
              <w:tab/>
            </w:r>
            <w:r w:rsidR="00A71441">
              <w:rPr>
                <w:noProof/>
                <w:webHidden/>
              </w:rPr>
              <w:fldChar w:fldCharType="begin"/>
            </w:r>
            <w:r w:rsidR="00A71441">
              <w:rPr>
                <w:noProof/>
                <w:webHidden/>
              </w:rPr>
              <w:instrText xml:space="preserve"> PAGEREF _Toc523565936 \h </w:instrText>
            </w:r>
            <w:r w:rsidR="00A71441">
              <w:rPr>
                <w:noProof/>
                <w:webHidden/>
              </w:rPr>
            </w:r>
            <w:r w:rsidR="00A71441">
              <w:rPr>
                <w:noProof/>
                <w:webHidden/>
              </w:rPr>
              <w:fldChar w:fldCharType="separate"/>
            </w:r>
            <w:r w:rsidR="00A012A0">
              <w:rPr>
                <w:noProof/>
                <w:webHidden/>
              </w:rPr>
              <w:t>2</w:t>
            </w:r>
            <w:r w:rsidR="00A71441">
              <w:rPr>
                <w:noProof/>
                <w:webHidden/>
              </w:rPr>
              <w:fldChar w:fldCharType="end"/>
            </w:r>
          </w:hyperlink>
        </w:p>
        <w:p w:rsidR="00A71441" w:rsidRPr="00A71441" w:rsidRDefault="00A71441" w:rsidP="00A71441">
          <w:pPr>
            <w:rPr>
              <w:noProof/>
            </w:rPr>
          </w:pPr>
        </w:p>
        <w:p w:rsidR="00A71441" w:rsidRDefault="00473ABF" w:rsidP="00EA2C08">
          <w:pPr>
            <w:pStyle w:val="TDC1"/>
            <w:rPr>
              <w:rStyle w:val="Hipervnculo"/>
              <w:noProof/>
            </w:rPr>
          </w:pPr>
          <w:hyperlink w:anchor="_Toc523565937" w:history="1">
            <w:r w:rsidR="00A71441" w:rsidRPr="000E5F0E">
              <w:rPr>
                <w:rStyle w:val="Hipervnculo"/>
                <w:rFonts w:ascii="Palatino Linotype" w:hAnsi="Palatino Linotype"/>
                <w:b/>
                <w:noProof/>
              </w:rPr>
              <w:t>II.</w:t>
            </w:r>
            <w:r w:rsidR="00A71441">
              <w:rPr>
                <w:rFonts w:eastAsiaTheme="minorEastAsia"/>
                <w:noProof/>
                <w:lang w:eastAsia="es-MX"/>
              </w:rPr>
              <w:tab/>
            </w:r>
            <w:r w:rsidR="00A71441" w:rsidRPr="000E5F0E">
              <w:rPr>
                <w:rStyle w:val="Hipervnculo"/>
                <w:rFonts w:ascii="Palatino Linotype" w:hAnsi="Palatino Linotype"/>
                <w:b/>
                <w:noProof/>
              </w:rPr>
              <w:t>De los requerimientos planteados en el recurso de revisión.</w:t>
            </w:r>
            <w:r w:rsidR="00A71441">
              <w:rPr>
                <w:noProof/>
                <w:webHidden/>
              </w:rPr>
              <w:tab/>
            </w:r>
            <w:r w:rsidR="00A71441">
              <w:rPr>
                <w:noProof/>
                <w:webHidden/>
              </w:rPr>
              <w:fldChar w:fldCharType="begin"/>
            </w:r>
            <w:r w:rsidR="00A71441">
              <w:rPr>
                <w:noProof/>
                <w:webHidden/>
              </w:rPr>
              <w:instrText xml:space="preserve"> PAGEREF _Toc523565937 \h </w:instrText>
            </w:r>
            <w:r w:rsidR="00A71441">
              <w:rPr>
                <w:noProof/>
                <w:webHidden/>
              </w:rPr>
            </w:r>
            <w:r w:rsidR="00A71441">
              <w:rPr>
                <w:noProof/>
                <w:webHidden/>
              </w:rPr>
              <w:fldChar w:fldCharType="separate"/>
            </w:r>
            <w:r w:rsidR="00A012A0">
              <w:rPr>
                <w:noProof/>
                <w:webHidden/>
              </w:rPr>
              <w:t>3</w:t>
            </w:r>
            <w:r w:rsidR="00A71441">
              <w:rPr>
                <w:noProof/>
                <w:webHidden/>
              </w:rPr>
              <w:fldChar w:fldCharType="end"/>
            </w:r>
          </w:hyperlink>
        </w:p>
        <w:p w:rsidR="00A71441" w:rsidRPr="00A71441" w:rsidRDefault="00A71441" w:rsidP="00A71441">
          <w:pPr>
            <w:rPr>
              <w:noProof/>
            </w:rPr>
          </w:pPr>
        </w:p>
        <w:p w:rsidR="00A71441" w:rsidRDefault="00473ABF" w:rsidP="00EA2C08">
          <w:pPr>
            <w:pStyle w:val="TDC1"/>
            <w:rPr>
              <w:rFonts w:eastAsiaTheme="minorEastAsia"/>
              <w:noProof/>
              <w:lang w:eastAsia="es-MX"/>
            </w:rPr>
          </w:pPr>
          <w:hyperlink w:anchor="_Toc523565938" w:history="1">
            <w:r w:rsidR="00A71441" w:rsidRPr="000E5F0E">
              <w:rPr>
                <w:rStyle w:val="Hipervnculo"/>
                <w:rFonts w:ascii="Palatino Linotype" w:hAnsi="Palatino Linotype"/>
                <w:b/>
                <w:noProof/>
              </w:rPr>
              <w:t>III.</w:t>
            </w:r>
            <w:r w:rsidR="00A71441">
              <w:rPr>
                <w:rFonts w:eastAsiaTheme="minorEastAsia"/>
                <w:noProof/>
                <w:lang w:eastAsia="es-MX"/>
              </w:rPr>
              <w:tab/>
            </w:r>
            <w:r w:rsidR="00A71441" w:rsidRPr="000E5F0E">
              <w:rPr>
                <w:rStyle w:val="Hipervnculo"/>
                <w:rFonts w:ascii="Palatino Linotype" w:hAnsi="Palatino Linotype"/>
                <w:b/>
                <w:noProof/>
              </w:rPr>
              <w:t>Los actos consentidos no deben invocarse en el derecho fundamental de acceder a la información pública gubernamental.</w:t>
            </w:r>
            <w:r w:rsidR="00A71441">
              <w:rPr>
                <w:noProof/>
                <w:webHidden/>
              </w:rPr>
              <w:tab/>
            </w:r>
            <w:r w:rsidR="00A71441">
              <w:rPr>
                <w:noProof/>
                <w:webHidden/>
              </w:rPr>
              <w:fldChar w:fldCharType="begin"/>
            </w:r>
            <w:r w:rsidR="00A71441">
              <w:rPr>
                <w:noProof/>
                <w:webHidden/>
              </w:rPr>
              <w:instrText xml:space="preserve"> PAGEREF _Toc523565938 \h </w:instrText>
            </w:r>
            <w:r w:rsidR="00A71441">
              <w:rPr>
                <w:noProof/>
                <w:webHidden/>
              </w:rPr>
            </w:r>
            <w:r w:rsidR="00A71441">
              <w:rPr>
                <w:noProof/>
                <w:webHidden/>
              </w:rPr>
              <w:fldChar w:fldCharType="separate"/>
            </w:r>
            <w:r w:rsidR="00A012A0">
              <w:rPr>
                <w:noProof/>
                <w:webHidden/>
              </w:rPr>
              <w:t>8</w:t>
            </w:r>
            <w:r w:rsidR="00A71441">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23565936"/>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Trigésima </w:t>
      </w:r>
      <w:r w:rsidR="00DA6B18">
        <w:rPr>
          <w:rFonts w:ascii="Palatino Linotype" w:hAnsi="Palatino Linotype" w:cs="Arial"/>
          <w:sz w:val="24"/>
          <w:szCs w:val="24"/>
        </w:rPr>
        <w:t>Cuarta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ED288D">
        <w:rPr>
          <w:rFonts w:ascii="Palatino Linotype" w:hAnsi="Palatino Linotype" w:cs="Arial"/>
          <w:sz w:val="24"/>
          <w:szCs w:val="24"/>
        </w:rPr>
        <w:t>diecinueve</w:t>
      </w:r>
      <w:r w:rsidRPr="00E34F08">
        <w:rPr>
          <w:rFonts w:ascii="Palatino Linotype" w:hAnsi="Palatino Linotype" w:cs="Arial"/>
          <w:sz w:val="24"/>
          <w:szCs w:val="24"/>
        </w:rPr>
        <w:t xml:space="preserve"> (</w:t>
      </w:r>
      <w:r w:rsidR="00ED288D">
        <w:rPr>
          <w:rFonts w:ascii="Palatino Linotype" w:hAnsi="Palatino Linotype" w:cs="Arial"/>
          <w:sz w:val="24"/>
          <w:szCs w:val="24"/>
        </w:rPr>
        <w:t>1</w:t>
      </w:r>
      <w:r w:rsidR="003837C2">
        <w:rPr>
          <w:rFonts w:ascii="Palatino Linotype" w:hAnsi="Palatino Linotype" w:cs="Arial"/>
          <w:sz w:val="24"/>
          <w:szCs w:val="24"/>
        </w:rPr>
        <w:t>9</w:t>
      </w:r>
      <w:r w:rsidR="00225026" w:rsidRPr="00E34F08">
        <w:rPr>
          <w:rFonts w:ascii="Palatino Linotype" w:hAnsi="Palatino Linotype" w:cs="Arial"/>
          <w:sz w:val="24"/>
          <w:szCs w:val="24"/>
        </w:rPr>
        <w:t xml:space="preserve">) de </w:t>
      </w:r>
      <w:r w:rsidR="00ED288D">
        <w:rPr>
          <w:rFonts w:ascii="Palatino Linotype" w:hAnsi="Palatino Linotype" w:cs="Arial"/>
          <w:sz w:val="24"/>
          <w:szCs w:val="24"/>
        </w:rPr>
        <w:t>septiembre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473ABF" w:rsidRPr="00473ABF">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w:t>
      </w:r>
      <w:r w:rsidR="00902248" w:rsidRPr="00E34F08">
        <w:rPr>
          <w:rFonts w:ascii="Palatino Linotype" w:hAnsi="Palatino Linotype" w:cs="Arial"/>
          <w:sz w:val="24"/>
          <w:szCs w:val="24"/>
        </w:rPr>
        <w:t>s</w:t>
      </w:r>
      <w:r w:rsidRPr="00E34F08">
        <w:rPr>
          <w:rFonts w:ascii="Palatino Linotype" w:hAnsi="Palatino Linotype" w:cs="Arial"/>
          <w:sz w:val="24"/>
          <w:szCs w:val="24"/>
        </w:rPr>
        <w:t xml:space="preserve"> respuesta de</w:t>
      </w:r>
      <w:r w:rsidR="008E4128">
        <w:rPr>
          <w:rFonts w:ascii="Palatino Linotype" w:hAnsi="Palatino Linotype" w:cs="Arial"/>
          <w:sz w:val="24"/>
          <w:szCs w:val="24"/>
        </w:rPr>
        <w:t xml:space="preserve"> </w:t>
      </w:r>
      <w:r w:rsidRPr="00E34F08">
        <w:rPr>
          <w:rFonts w:ascii="Palatino Linotype" w:hAnsi="Palatino Linotype" w:cs="Arial"/>
          <w:sz w:val="24"/>
          <w:szCs w:val="24"/>
        </w:rPr>
        <w:t>l</w:t>
      </w:r>
      <w:r w:rsidR="008E4128">
        <w:rPr>
          <w:rFonts w:ascii="Palatino Linotype" w:hAnsi="Palatino Linotype" w:cs="Arial"/>
          <w:sz w:val="24"/>
          <w:szCs w:val="24"/>
        </w:rPr>
        <w:t>a</w:t>
      </w:r>
      <w:r w:rsidRPr="00E34F08">
        <w:rPr>
          <w:rFonts w:ascii="Palatino Linotype" w:hAnsi="Palatino Linotype" w:cs="Arial"/>
          <w:sz w:val="24"/>
          <w:szCs w:val="24"/>
        </w:rPr>
        <w:t xml:space="preserve"> </w:t>
      </w:r>
      <w:r w:rsidR="008E4128">
        <w:rPr>
          <w:rFonts w:ascii="Palatino Linotype" w:eastAsia="Calibri" w:hAnsi="Palatino Linotype" w:cs="Times New Roman"/>
          <w:b/>
          <w:sz w:val="24"/>
          <w:szCs w:val="24"/>
          <w:lang w:val="es-ES" w:eastAsia="es-ES"/>
        </w:rPr>
        <w:t>Universidad Politécnica del Valle de Toluca</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02479</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8E4128" w:rsidP="00EA2C0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los</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01046D">
        <w:rPr>
          <w:rFonts w:ascii="Palatino Linotype" w:hAnsi="Palatino Linotype" w:cs="Arial"/>
          <w:b/>
          <w:sz w:val="24"/>
          <w:szCs w:val="24"/>
        </w:rPr>
        <w:t xml:space="preserve">el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w:t>
      </w:r>
      <w:r w:rsidR="00AA49F3" w:rsidRPr="0001046D">
        <w:rPr>
          <w:rFonts w:ascii="Palatino Linotype" w:hAnsi="Palatino Linotype" w:cs="Arial"/>
          <w:sz w:val="24"/>
          <w:szCs w:val="24"/>
        </w:rPr>
        <w:lastRenderedPageBreak/>
        <w:t xml:space="preserve">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 xml:space="preserve">uarto de la resolución por lo que </w:t>
      </w:r>
      <w:r w:rsidR="00424DE3">
        <w:rPr>
          <w:rFonts w:ascii="Palatino Linotype" w:hAnsi="Palatino Linotype" w:cs="Arial"/>
          <w:sz w:val="24"/>
          <w:szCs w:val="24"/>
        </w:rPr>
        <w:t>consideró</w:t>
      </w:r>
      <w:r w:rsidR="00BF3534" w:rsidRPr="0001046D">
        <w:rPr>
          <w:rFonts w:ascii="Palatino Linotype" w:hAnsi="Palatino Linotype" w:cs="Arial"/>
          <w:sz w:val="24"/>
          <w:szCs w:val="24"/>
        </w:rPr>
        <w:t xml:space="preserve"> </w:t>
      </w:r>
      <w:r>
        <w:rPr>
          <w:rFonts w:ascii="Palatino Linotype" w:hAnsi="Palatino Linotype" w:cs="Arial"/>
          <w:b/>
          <w:sz w:val="24"/>
          <w:szCs w:val="24"/>
        </w:rPr>
        <w:t>REVOCAR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3837C2">
        <w:rPr>
          <w:rFonts w:ascii="Palatino Linotype" w:hAnsi="Palatino Linotype" w:cs="Arial"/>
          <w:sz w:val="24"/>
          <w:szCs w:val="24"/>
        </w:rPr>
        <w:t>,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EA2C08">
      <w:pPr>
        <w:pStyle w:val="Prrafodelista"/>
        <w:rPr>
          <w:rFonts w:ascii="Palatino Linotype" w:hAnsi="Palatino Linotype" w:cs="Arial"/>
          <w:sz w:val="24"/>
          <w:szCs w:val="24"/>
        </w:rPr>
      </w:pPr>
    </w:p>
    <w:p w:rsidR="00EA2C08" w:rsidRPr="00EA2C08" w:rsidRDefault="00EA2C08" w:rsidP="00EA2C08">
      <w:pPr>
        <w:pStyle w:val="Prrafodelista"/>
        <w:spacing w:before="240" w:after="240" w:line="360" w:lineRule="auto"/>
        <w:ind w:left="502" w:right="49"/>
        <w:jc w:val="both"/>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23565937"/>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w:t>
      </w:r>
      <w:r w:rsidR="008E4128">
        <w:rPr>
          <w:rFonts w:ascii="Palatino Linotype" w:hAnsi="Palatino Linotype" w:cs="Arial"/>
          <w:sz w:val="24"/>
          <w:szCs w:val="24"/>
        </w:rPr>
        <w:t xml:space="preserve"> </w:t>
      </w:r>
      <w:r w:rsidR="00413496" w:rsidRPr="00F25783">
        <w:rPr>
          <w:rFonts w:ascii="Palatino Linotype" w:hAnsi="Palatino Linotype" w:cs="Arial"/>
          <w:sz w:val="24"/>
          <w:szCs w:val="24"/>
        </w:rPr>
        <w:t>l</w:t>
      </w:r>
      <w:r w:rsidR="008E4128">
        <w:rPr>
          <w:rFonts w:ascii="Palatino Linotype" w:hAnsi="Palatino Linotype" w:cs="Arial"/>
          <w:sz w:val="24"/>
          <w:szCs w:val="24"/>
        </w:rPr>
        <w:t>a</w:t>
      </w:r>
      <w:r w:rsidR="00413496" w:rsidRPr="00F25783">
        <w:rPr>
          <w:rFonts w:ascii="Palatino Linotype" w:hAnsi="Palatino Linotype" w:cs="Arial"/>
          <w:sz w:val="24"/>
          <w:szCs w:val="24"/>
        </w:rPr>
        <w:t xml:space="preserve"> </w:t>
      </w:r>
      <w:r w:rsidR="008E4128">
        <w:rPr>
          <w:rFonts w:ascii="Palatino Linotype" w:hAnsi="Palatino Linotype" w:cs="Arial"/>
          <w:b/>
          <w:sz w:val="24"/>
          <w:szCs w:val="24"/>
        </w:rPr>
        <w:t>Universidad Politécnica del Valle de Toluca</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E35329" w:rsidRDefault="009B4E7D" w:rsidP="00E35329">
      <w:pPr>
        <w:pStyle w:val="Prrafodelista"/>
        <w:autoSpaceDE w:val="0"/>
        <w:autoSpaceDN w:val="0"/>
        <w:adjustRightInd w:val="0"/>
        <w:ind w:left="567" w:right="616"/>
        <w:jc w:val="both"/>
        <w:rPr>
          <w:rFonts w:ascii="Palatino Linotype" w:hAnsi="Palatino Linotype" w:cs="Arial"/>
          <w:i/>
        </w:rPr>
      </w:pPr>
      <w:r w:rsidRPr="00EA25FD">
        <w:rPr>
          <w:rFonts w:ascii="Palatino Linotype" w:hAnsi="Palatino Linotype" w:cs="Arial"/>
          <w:i/>
        </w:rPr>
        <w:t>“</w:t>
      </w:r>
      <w:r w:rsidR="008E4128" w:rsidRPr="008E4128">
        <w:rPr>
          <w:rFonts w:ascii="Palatino Linotype" w:hAnsi="Palatino Linotype" w:cs="Arial"/>
          <w:i/>
        </w:rPr>
        <w:t>Por favor me pueden proporcionar el formato de clase muestra de mi prima (</w:t>
      </w:r>
      <w:r w:rsidR="00473ABF" w:rsidRPr="00473ABF">
        <w:rPr>
          <w:rFonts w:ascii="Palatino Linotype" w:hAnsi="Palatino Linotype" w:cs="Arial"/>
          <w:i/>
          <w:highlight w:val="black"/>
        </w:rPr>
        <w:t>------------------------</w:t>
      </w:r>
      <w:r w:rsidR="008E4128" w:rsidRPr="008E4128">
        <w:rPr>
          <w:rFonts w:ascii="Palatino Linotype" w:hAnsi="Palatino Linotype" w:cs="Arial"/>
          <w:i/>
        </w:rPr>
        <w:t>) para que pudiera ingresar a la impartición de cátedra a la universidad</w:t>
      </w:r>
      <w:r>
        <w:rPr>
          <w:rFonts w:ascii="Palatino Linotype" w:hAnsi="Palatino Linotype"/>
          <w:i/>
          <w:lang w:val="es-ES"/>
        </w:rPr>
        <w:t>”</w:t>
      </w:r>
      <w:r w:rsidRPr="000F381D">
        <w:rPr>
          <w:rFonts w:ascii="Palatino Linotype" w:hAnsi="Palatino Linotype"/>
          <w:i/>
          <w:lang w:val="es-ES"/>
        </w:rPr>
        <w:t xml:space="preserve"> </w:t>
      </w:r>
      <w:r w:rsidRPr="00EA25FD">
        <w:rPr>
          <w:rFonts w:ascii="Palatino Linotype" w:hAnsi="Palatino Linotype" w:cs="Arial"/>
          <w:i/>
        </w:rPr>
        <w:t>(Sic</w:t>
      </w:r>
      <w:r w:rsidR="00E35329">
        <w:rPr>
          <w:rFonts w:ascii="Palatino Linotype" w:hAnsi="Palatino Linotype" w:cs="Arial"/>
          <w:i/>
        </w:rPr>
        <w:t>)</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8E4128" w:rsidRPr="008E4128" w:rsidRDefault="009B4E7D" w:rsidP="008E4128">
      <w:pPr>
        <w:pStyle w:val="Sinespaciado"/>
        <w:ind w:left="851" w:right="567"/>
        <w:jc w:val="right"/>
        <w:rPr>
          <w:rFonts w:ascii="Palatino Linotype" w:hAnsi="Palatino Linotype"/>
          <w:i/>
          <w:lang w:val="es-ES_tradnl" w:eastAsia="es-ES"/>
        </w:rPr>
      </w:pPr>
      <w:r w:rsidRPr="008E4128">
        <w:rPr>
          <w:rFonts w:ascii="Palatino Linotype" w:hAnsi="Palatino Linotype"/>
          <w:i/>
          <w:lang w:val="es-ES_tradnl" w:eastAsia="es-ES"/>
        </w:rPr>
        <w:lastRenderedPageBreak/>
        <w:t>“</w:t>
      </w:r>
      <w:r w:rsidR="008E4128" w:rsidRPr="008E4128">
        <w:rPr>
          <w:rFonts w:ascii="Palatino Linotype" w:hAnsi="Palatino Linotype"/>
          <w:i/>
          <w:lang w:val="es-ES_tradnl" w:eastAsia="es-ES"/>
        </w:rPr>
        <w:t>Metepec, México a 27 de Junio de 2018</w:t>
      </w:r>
    </w:p>
    <w:p w:rsidR="008E4128" w:rsidRPr="008E4128" w:rsidRDefault="008E4128" w:rsidP="008E4128">
      <w:pPr>
        <w:pStyle w:val="Sinespaciado"/>
        <w:ind w:left="851" w:right="567"/>
        <w:jc w:val="right"/>
        <w:rPr>
          <w:rFonts w:ascii="Palatino Linotype" w:hAnsi="Palatino Linotype"/>
          <w:i/>
          <w:lang w:val="es-ES_tradnl" w:eastAsia="es-ES"/>
        </w:rPr>
      </w:pPr>
      <w:r w:rsidRPr="008E4128">
        <w:rPr>
          <w:rFonts w:ascii="Palatino Linotype" w:hAnsi="Palatino Linotype"/>
          <w:i/>
          <w:lang w:val="es-ES_tradnl" w:eastAsia="es-ES"/>
        </w:rPr>
        <w:t xml:space="preserve">Nombre del solicitante: </w:t>
      </w:r>
      <w:r w:rsidR="00473ABF" w:rsidRPr="00473ABF">
        <w:rPr>
          <w:rFonts w:ascii="Palatino Linotype" w:hAnsi="Palatino Linotype"/>
          <w:i/>
          <w:highlight w:val="black"/>
          <w:lang w:val="es-ES_tradnl" w:eastAsia="es-ES"/>
        </w:rPr>
        <w:t>-----------------------------</w:t>
      </w:r>
    </w:p>
    <w:p w:rsidR="008E4128" w:rsidRDefault="008E4128" w:rsidP="008E4128">
      <w:pPr>
        <w:pStyle w:val="Sinespaciado"/>
        <w:ind w:left="851" w:right="567"/>
        <w:jc w:val="right"/>
        <w:rPr>
          <w:rFonts w:ascii="Palatino Linotype" w:hAnsi="Palatino Linotype"/>
          <w:i/>
          <w:lang w:val="es-ES_tradnl" w:eastAsia="es-ES"/>
        </w:rPr>
      </w:pPr>
      <w:r w:rsidRPr="008E4128">
        <w:rPr>
          <w:rFonts w:ascii="Palatino Linotype" w:hAnsi="Palatino Linotype"/>
          <w:i/>
          <w:lang w:val="es-ES_tradnl" w:eastAsia="es-ES"/>
        </w:rPr>
        <w:t>Folio de la solicitud: 00437/UPVT/IP/2018</w:t>
      </w:r>
    </w:p>
    <w:p w:rsidR="008E4128" w:rsidRPr="008E4128" w:rsidRDefault="008E4128" w:rsidP="008E4128">
      <w:pPr>
        <w:pStyle w:val="Sinespaciado"/>
        <w:ind w:left="851" w:right="567"/>
        <w:jc w:val="right"/>
        <w:rPr>
          <w:rFonts w:ascii="Palatino Linotype" w:hAnsi="Palatino Linotype"/>
          <w:i/>
          <w:lang w:val="es-ES_tradnl" w:eastAsia="es-ES"/>
        </w:rPr>
      </w:pPr>
    </w:p>
    <w:p w:rsidR="008E4128" w:rsidRDefault="008E4128" w:rsidP="008E4128">
      <w:pPr>
        <w:pStyle w:val="Sinespaciado"/>
        <w:ind w:left="851" w:right="567"/>
        <w:jc w:val="both"/>
        <w:rPr>
          <w:rFonts w:ascii="Palatino Linotype" w:hAnsi="Palatino Linotype"/>
          <w:i/>
          <w:lang w:val="es-ES_tradnl" w:eastAsia="es-ES"/>
        </w:rPr>
      </w:pPr>
      <w:r w:rsidRPr="008E4128">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4128" w:rsidRPr="008E4128" w:rsidRDefault="008E4128" w:rsidP="008E4128">
      <w:pPr>
        <w:pStyle w:val="Sinespaciado"/>
        <w:ind w:left="851" w:right="567"/>
        <w:jc w:val="both"/>
        <w:rPr>
          <w:rFonts w:ascii="Palatino Linotype" w:hAnsi="Palatino Linotype"/>
          <w:i/>
          <w:lang w:val="es-ES_tradnl" w:eastAsia="es-ES"/>
        </w:rPr>
      </w:pPr>
    </w:p>
    <w:p w:rsidR="008E4128" w:rsidRDefault="008E4128" w:rsidP="008E4128">
      <w:pPr>
        <w:pStyle w:val="Sinespaciado"/>
        <w:ind w:left="851" w:right="567"/>
        <w:jc w:val="both"/>
        <w:rPr>
          <w:rFonts w:ascii="Palatino Linotype" w:hAnsi="Palatino Linotype"/>
          <w:i/>
          <w:lang w:val="es-ES_tradnl" w:eastAsia="es-ES"/>
        </w:rPr>
      </w:pPr>
      <w:r w:rsidRPr="008E4128">
        <w:rPr>
          <w:rFonts w:ascii="Palatino Linotype" w:hAnsi="Palatino Linotype"/>
          <w:i/>
          <w:lang w:val="es-ES_tradnl" w:eastAsia="es-ES"/>
        </w:rPr>
        <w:t xml:space="preserve">En atención a la solicitud de información pública registrada con el número de folio 00437/UPVT/IP/2018, que realizó el 6 de junio del año en curso, sírvase encontrar en archivo adjunto copia digitalizada en formato </w:t>
      </w:r>
      <w:proofErr w:type="spellStart"/>
      <w:r w:rsidRPr="008E4128">
        <w:rPr>
          <w:rFonts w:ascii="Palatino Linotype" w:hAnsi="Palatino Linotype"/>
          <w:i/>
          <w:lang w:val="es-ES_tradnl" w:eastAsia="es-ES"/>
        </w:rPr>
        <w:t>pdf</w:t>
      </w:r>
      <w:proofErr w:type="spellEnd"/>
      <w:r w:rsidRPr="008E4128">
        <w:rPr>
          <w:rFonts w:ascii="Palatino Linotype" w:hAnsi="Palatino Linotype"/>
          <w:i/>
          <w:lang w:val="es-ES_tradnl" w:eastAsia="es-ES"/>
        </w:rPr>
        <w:t xml:space="preserve"> del oficio emitido por los Servidores Públicos Habilitados, de la Dirección de División de Ingeniería en Biotecnológica y Licenciatura en Negocios Internacionales, Dirección de División de Ingeniería </w:t>
      </w:r>
      <w:proofErr w:type="spellStart"/>
      <w:r w:rsidRPr="008E4128">
        <w:rPr>
          <w:rFonts w:ascii="Palatino Linotype" w:hAnsi="Palatino Linotype"/>
          <w:i/>
          <w:lang w:val="es-ES_tradnl" w:eastAsia="es-ES"/>
        </w:rPr>
        <w:t>Mecatrónica</w:t>
      </w:r>
      <w:proofErr w:type="spellEnd"/>
      <w:r w:rsidRPr="008E4128">
        <w:rPr>
          <w:rFonts w:ascii="Palatino Linotype" w:hAnsi="Palatino Linotype"/>
          <w:i/>
          <w:lang w:val="es-ES_tradnl" w:eastAsia="es-ES"/>
        </w:rPr>
        <w:t>, Dirección de División de Ingeniería en Informática y Dirección de División de Ingeniería Industrial y de Sistemas,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8E4128" w:rsidRPr="008E4128" w:rsidRDefault="008E4128" w:rsidP="008E4128">
      <w:pPr>
        <w:pStyle w:val="Sinespaciado"/>
        <w:ind w:left="851" w:right="567"/>
        <w:jc w:val="both"/>
        <w:rPr>
          <w:rFonts w:ascii="Palatino Linotype" w:hAnsi="Palatino Linotype"/>
          <w:i/>
          <w:lang w:val="es-ES_tradnl" w:eastAsia="es-ES"/>
        </w:rPr>
      </w:pPr>
    </w:p>
    <w:p w:rsidR="008E4128" w:rsidRPr="008E4128" w:rsidRDefault="008E4128" w:rsidP="008E4128">
      <w:pPr>
        <w:pStyle w:val="Sinespaciado"/>
        <w:ind w:left="851" w:right="567"/>
        <w:jc w:val="both"/>
        <w:rPr>
          <w:rFonts w:ascii="Palatino Linotype" w:hAnsi="Palatino Linotype"/>
          <w:i/>
          <w:lang w:val="es-ES_tradnl" w:eastAsia="es-ES"/>
        </w:rPr>
      </w:pPr>
      <w:r w:rsidRPr="008E4128">
        <w:rPr>
          <w:rFonts w:ascii="Palatino Linotype" w:hAnsi="Palatino Linotype"/>
          <w:i/>
          <w:lang w:val="es-ES_tradnl" w:eastAsia="es-ES"/>
        </w:rPr>
        <w:t>ATENTAMENTE</w:t>
      </w:r>
    </w:p>
    <w:p w:rsidR="00AE4797" w:rsidRPr="008E4128" w:rsidRDefault="008E4128" w:rsidP="008E4128">
      <w:pPr>
        <w:pStyle w:val="Sinespaciado"/>
        <w:ind w:left="851" w:right="567"/>
        <w:jc w:val="both"/>
        <w:rPr>
          <w:rFonts w:ascii="Palatino Linotype" w:hAnsi="Palatino Linotype"/>
          <w:i/>
          <w:lang w:val="es-ES_tradnl" w:eastAsia="es-ES"/>
        </w:rPr>
      </w:pPr>
      <w:r w:rsidRPr="008E4128">
        <w:rPr>
          <w:rFonts w:ascii="Palatino Linotype" w:hAnsi="Palatino Linotype"/>
          <w:i/>
          <w:lang w:val="es-ES_tradnl" w:eastAsia="es-ES"/>
        </w:rPr>
        <w:t>LIC. GABRIELA AVILES OLIVARES</w:t>
      </w:r>
      <w:r w:rsidR="009B4E7D" w:rsidRPr="008E4128">
        <w:rPr>
          <w:rFonts w:ascii="Palatino Linotype" w:hAnsi="Palatino Linotype"/>
          <w:i/>
          <w:lang w:val="es-ES_tradnl" w:eastAsia="es-ES"/>
        </w:rPr>
        <w:t>” (Sic)</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w:t>
      </w:r>
      <w:r w:rsidR="008E4128">
        <w:rPr>
          <w:rFonts w:ascii="Palatino Linotype" w:eastAsia="Times New Roman" w:hAnsi="Palatino Linotype" w:cs="Times New Roman"/>
          <w:sz w:val="24"/>
          <w:szCs w:val="24"/>
          <w:lang w:val="es-ES_tradnl" w:eastAsia="es-ES"/>
        </w:rPr>
        <w:t xml:space="preserve">anexaron diversos </w:t>
      </w:r>
      <w:r>
        <w:rPr>
          <w:rFonts w:ascii="Palatino Linotype" w:eastAsia="Times New Roman" w:hAnsi="Palatino Linotype" w:cs="Times New Roman"/>
          <w:sz w:val="24"/>
          <w:szCs w:val="24"/>
          <w:lang w:val="es-ES_tradnl" w:eastAsia="es-ES"/>
        </w:rPr>
        <w:t>archivo</w:t>
      </w:r>
      <w:r w:rsidR="008E4128">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electrónico</w:t>
      </w:r>
      <w:r w:rsidR="008E4128">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w:t>
      </w:r>
      <w:r w:rsidR="008E4128">
        <w:rPr>
          <w:rFonts w:ascii="Palatino Linotype" w:eastAsia="Times New Roman" w:hAnsi="Palatino Linotype" w:cs="Times New Roman"/>
          <w:sz w:val="24"/>
          <w:szCs w:val="24"/>
          <w:lang w:val="es-ES_tradnl" w:eastAsia="es-ES"/>
        </w:rPr>
        <w:t xml:space="preserve">a través de los cuales, las distintas Direcciones de División se pronunciaron respecto de la información solicitada, siendo finalmente la dirección de División de Ingeniería Industrial y de Sistemas quien emitió el </w:t>
      </w:r>
      <w:r w:rsidR="008E4128" w:rsidRPr="008E4128">
        <w:rPr>
          <w:rFonts w:ascii="Palatino Linotype" w:eastAsia="Times New Roman" w:hAnsi="Palatino Linotype" w:cs="Times New Roman"/>
          <w:i/>
          <w:sz w:val="24"/>
          <w:szCs w:val="24"/>
          <w:lang w:val="es-ES_tradnl" w:eastAsia="es-ES"/>
        </w:rPr>
        <w:t>formato de evaluación para el ingreso del personal académico</w:t>
      </w:r>
      <w:r w:rsidR="008E4128">
        <w:rPr>
          <w:rFonts w:ascii="Palatino Linotype" w:eastAsia="Times New Roman" w:hAnsi="Palatino Linotype" w:cs="Times New Roman"/>
          <w:sz w:val="24"/>
          <w:szCs w:val="24"/>
          <w:lang w:val="es-ES_tradnl" w:eastAsia="es-ES"/>
        </w:rPr>
        <w:t xml:space="preserve"> solicitado por el particular</w:t>
      </w:r>
      <w:r w:rsidR="00E30CD7">
        <w:rPr>
          <w:rFonts w:ascii="Palatino Linotype" w:eastAsia="Times New Roman" w:hAnsi="Palatino Linotype" w:cs="Times New Roman"/>
          <w:sz w:val="24"/>
          <w:szCs w:val="24"/>
          <w:lang w:val="es-ES_tradnl" w:eastAsia="es-ES"/>
        </w:rPr>
        <w:t>, sin embargo, de constancias de autos y como fue señalado dentro de la resolución, el documento se hallaba ilegible.</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444048"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E30CD7">
        <w:rPr>
          <w:rFonts w:ascii="Palatino Linotype" w:hAnsi="Palatino Linotype" w:cs="Arial"/>
          <w:b/>
        </w:rPr>
        <w:t>RECURRENTE</w:t>
      </w:r>
      <w:r w:rsidR="005F3760">
        <w:rPr>
          <w:rFonts w:ascii="Palatino Linotype" w:hAnsi="Palatino Linotype" w:cs="Arial"/>
        </w:rPr>
        <w:t xml:space="preserve"> en sus motivos de inconformidad, ya no se duele por la totalidad de la información que le fue proporcionada, se queja únicamente</w:t>
      </w:r>
      <w:r w:rsidR="005C79C8">
        <w:rPr>
          <w:rFonts w:ascii="Palatino Linotype" w:hAnsi="Palatino Linotype" w:cs="Arial"/>
        </w:rPr>
        <w:t xml:space="preserve"> sobre la omisión por parte del </w:t>
      </w:r>
      <w:r w:rsidR="00E30CD7" w:rsidRPr="00E30CD7">
        <w:rPr>
          <w:rFonts w:ascii="Palatino Linotype" w:hAnsi="Palatino Linotype" w:cs="Arial"/>
          <w:b/>
        </w:rPr>
        <w:t>SUJETO OBLIGADO</w:t>
      </w:r>
      <w:r w:rsidR="00E30CD7">
        <w:rPr>
          <w:rFonts w:ascii="Palatino Linotype" w:hAnsi="Palatino Linotype" w:cs="Arial"/>
        </w:rPr>
        <w:t xml:space="preserve"> </w:t>
      </w:r>
      <w:r w:rsidR="005C79C8">
        <w:rPr>
          <w:rFonts w:ascii="Palatino Linotype" w:hAnsi="Palatino Linotype" w:cs="Arial"/>
        </w:rPr>
        <w:t xml:space="preserve">de </w:t>
      </w:r>
      <w:r w:rsidR="00E30CD7">
        <w:rPr>
          <w:rFonts w:ascii="Palatino Linotype" w:hAnsi="Palatino Linotype" w:cs="Arial"/>
        </w:rPr>
        <w:t>entregar un documento ilegible.</w:t>
      </w:r>
    </w:p>
    <w:p w:rsidR="00444048" w:rsidRPr="0001046D" w:rsidRDefault="00444048" w:rsidP="00444048">
      <w:pPr>
        <w:pStyle w:val="Prrafodelista"/>
        <w:spacing w:before="240" w:after="240" w:line="360" w:lineRule="auto"/>
        <w:ind w:left="360"/>
        <w:jc w:val="both"/>
        <w:rPr>
          <w:rFonts w:ascii="Palatino Linotype" w:hAnsi="Palatino Linotype" w:cs="Arial"/>
          <w:sz w:val="24"/>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atiende </w:t>
      </w:r>
      <w:r w:rsidR="005F3760">
        <w:rPr>
          <w:rFonts w:ascii="Palatino Linotype" w:hAnsi="Palatino Linotype" w:cs="Arial"/>
          <w:sz w:val="24"/>
          <w:szCs w:val="24"/>
        </w:rPr>
        <w:t>la solicitud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E30CD7" w:rsidRDefault="00E30CD7" w:rsidP="00E30CD7">
      <w:pPr>
        <w:pStyle w:val="Sinespaciado"/>
        <w:jc w:val="both"/>
        <w:rPr>
          <w:rFonts w:ascii="Palatino Linotype" w:hAnsi="Palatino Linotype"/>
        </w:rPr>
      </w:pPr>
    </w:p>
    <w:p w:rsidR="00E30CD7" w:rsidRPr="00E30CD7" w:rsidRDefault="00E30CD7" w:rsidP="00E30CD7">
      <w:pPr>
        <w:pStyle w:val="Sinespaciado"/>
        <w:ind w:left="851" w:right="567"/>
        <w:jc w:val="both"/>
        <w:rPr>
          <w:rFonts w:ascii="Palatino Linotype" w:hAnsi="Palatino Linotype"/>
          <w:i/>
        </w:rPr>
      </w:pPr>
      <w:r>
        <w:rPr>
          <w:rFonts w:ascii="Palatino Linotype" w:hAnsi="Palatino Linotype"/>
          <w:i/>
        </w:rPr>
        <w:t>“</w:t>
      </w:r>
      <w:r w:rsidRPr="00E30CD7">
        <w:rPr>
          <w:rFonts w:ascii="Palatino Linotype" w:hAnsi="Palatino Linotype"/>
          <w:i/>
        </w:rPr>
        <w:t xml:space="preserve">Por otra parte debe precisarse que del análisis realizado a las constancias que integran el recurso de revisión al rubro anotado, de manera específica a los motivos de inconformidad hechos valer por el impetrante, se advierte que </w:t>
      </w:r>
      <w:r w:rsidRPr="00E30CD7">
        <w:rPr>
          <w:rFonts w:ascii="Palatino Linotype" w:hAnsi="Palatino Linotype" w:cs="Arial"/>
          <w:i/>
        </w:rPr>
        <w:t xml:space="preserve">únicamente se inconforma porque el documento es ilegible y no se puede apreciar la evaluación realizada a la persona que refiere, </w:t>
      </w:r>
      <w:r w:rsidRPr="00E30CD7">
        <w:rPr>
          <w:rFonts w:ascii="Palatino Linotype" w:hAnsi="Palatino Linotype"/>
          <w:i/>
        </w:rPr>
        <w:t xml:space="preserve">es decir, no señaló motivo de inconformidad alguno para combatir la información que le fue entregada con motivo de la respuesta emitida a la solicitud de información materia de la presente resolución, por los servidores públicos habilitados de la Dirección de la División de Ingeniería </w:t>
      </w:r>
      <w:proofErr w:type="spellStart"/>
      <w:r w:rsidRPr="00E30CD7">
        <w:rPr>
          <w:rFonts w:ascii="Palatino Linotype" w:hAnsi="Palatino Linotype"/>
          <w:i/>
        </w:rPr>
        <w:t>Mecatrónica</w:t>
      </w:r>
      <w:proofErr w:type="spellEnd"/>
      <w:r w:rsidRPr="00E30CD7">
        <w:rPr>
          <w:rFonts w:ascii="Palatino Linotype" w:hAnsi="Palatino Linotype"/>
          <w:i/>
        </w:rPr>
        <w:t>, Dirección de la División de Ingeniería en Informática, División de Ingeniería en Biotecnología y Licenciatura en Negocios Internacionales; en consecuencia, las respuestas deben tenerse como firmes,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E30CD7" w:rsidRP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w:t>
      </w:r>
      <w:r w:rsidRPr="00E30CD7">
        <w:rPr>
          <w:rFonts w:ascii="Palatino Linotype" w:hAnsi="Palatino Linotype"/>
          <w:b/>
          <w:i/>
        </w:rPr>
        <w:t>REVISIÓN EN AMPARO. LOS RESOLUTIVOS NO COMBATIDOS DEBEN DECLARARSE FIRMES</w:t>
      </w:r>
      <w:r w:rsidRPr="00E30CD7">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w:t>
      </w:r>
      <w:r w:rsidRPr="00E30CD7">
        <w:rPr>
          <w:rFonts w:ascii="Palatino Linotype" w:hAnsi="Palatino Linotype"/>
          <w:b/>
          <w:i/>
          <w:u w:val="single"/>
        </w:rPr>
        <w:t xml:space="preserve">deben declararse firmes </w:t>
      </w:r>
      <w:r w:rsidRPr="00E30CD7">
        <w:rPr>
          <w:rFonts w:ascii="Palatino Linotype" w:hAnsi="Palatino Linotype"/>
          <w:b/>
          <w:i/>
          <w:u w:val="single"/>
        </w:rPr>
        <w:lastRenderedPageBreak/>
        <w:t>aquéllos en contra de los cuales no se formuló agravio y dicha declaración de firmeza debe reflejarse en la parte considerativa y en los resolutivos debe confirmarse la sentencia recurrida en la parte correspondiente</w:t>
      </w:r>
      <w:r w:rsidRPr="00E30CD7">
        <w:rPr>
          <w:rFonts w:ascii="Palatino Linotype" w:hAnsi="Palatino Linotype"/>
          <w:i/>
        </w:rPr>
        <w:t>.”</w:t>
      </w:r>
    </w:p>
    <w:p w:rsid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Énfasis añadido.</w:t>
      </w:r>
    </w:p>
    <w:p w:rsidR="00E30CD7" w:rsidRPr="00E30CD7" w:rsidRDefault="00E30CD7" w:rsidP="00E30CD7">
      <w:pPr>
        <w:pStyle w:val="Sinespaciado"/>
        <w:ind w:left="1134" w:right="851"/>
        <w:jc w:val="both"/>
        <w:rPr>
          <w:rFonts w:ascii="Palatino Linotype" w:hAnsi="Palatino Linotype"/>
          <w:i/>
        </w:rPr>
      </w:pPr>
    </w:p>
    <w:p w:rsidR="00E30CD7" w:rsidRDefault="00E30CD7" w:rsidP="00E30CD7">
      <w:pPr>
        <w:pStyle w:val="Sinespaciado"/>
        <w:ind w:left="851" w:right="567"/>
        <w:jc w:val="both"/>
        <w:rPr>
          <w:rFonts w:ascii="Palatino Linotype" w:hAnsi="Palatino Linotype"/>
          <w:i/>
        </w:rPr>
      </w:pPr>
      <w:r w:rsidRPr="00E30CD7">
        <w:rPr>
          <w:rFonts w:ascii="Palatino Linotype" w:hAnsi="Palatino Linotype"/>
          <w:i/>
        </w:rPr>
        <w:t>Así, la parte de la solicitud que no fue impugnada debe declararse consentida por la parte recurrente, toda vez que no se realizaron manifestaciones de inconformidad, por lo que en consecuencia, no pueden producirse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en sentido contrario lo no expuesto se presume que no causa agravio a su persona. Sirve de sustento a lo anterior, por analogía, la tesis jurisprudencial número VI.3o.C. J/60, publicada en el Semanario Judicial de la Federación y su Gaceta bajo el número de registro 176,608 que a la letra dice:</w:t>
      </w:r>
    </w:p>
    <w:p w:rsidR="00E30CD7" w:rsidRPr="00E30CD7" w:rsidRDefault="00E30CD7" w:rsidP="00E30CD7">
      <w:pPr>
        <w:pStyle w:val="Sinespaciado"/>
        <w:ind w:left="851" w:right="567"/>
        <w:jc w:val="both"/>
        <w:rPr>
          <w:rFonts w:ascii="Palatino Linotype" w:hAnsi="Palatino Linotype"/>
          <w:i/>
        </w:rPr>
      </w:pPr>
    </w:p>
    <w:p w:rsidR="00E30CD7" w:rsidRP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w:t>
      </w:r>
      <w:r w:rsidRPr="00E30CD7">
        <w:rPr>
          <w:rFonts w:ascii="Palatino Linotype" w:hAnsi="Palatino Linotype"/>
          <w:b/>
          <w:i/>
        </w:rPr>
        <w:t>ACTOS CONSENTIDOS. SON LOS QUE NO SE IMPUGNAN MEDIANTE EL RECURSO IDÓNEO.</w:t>
      </w:r>
      <w:r w:rsidRPr="00E30CD7">
        <w:rPr>
          <w:rFonts w:ascii="Palatino Linotype" w:hAnsi="Palatino Linotype"/>
          <w:i/>
        </w:rPr>
        <w:t xml:space="preserve"> </w:t>
      </w:r>
      <w:r w:rsidRPr="00E30CD7">
        <w:rPr>
          <w:rFonts w:ascii="Palatino Linotype" w:hAnsi="Palatino Linotype"/>
          <w:b/>
          <w:i/>
          <w:u w:val="single"/>
        </w:rPr>
        <w:t>Debe reputarse como consentido el acto que no se impugnó por el medio establecido por la ley</w:t>
      </w:r>
      <w:r w:rsidRPr="00E30CD7">
        <w:rPr>
          <w:rFonts w:ascii="Palatino Linotype" w:hAnsi="Palatino Linotype"/>
          <w:i/>
        </w:rPr>
        <w:t xml:space="preserve">, ya que si se hizo uso de otro no previsto por ella </w:t>
      </w:r>
      <w:r w:rsidRPr="00E30CD7">
        <w:rPr>
          <w:rFonts w:ascii="Palatino Linotype" w:hAnsi="Palatino Linotype"/>
          <w:b/>
          <w:i/>
          <w:u w:val="single"/>
        </w:rPr>
        <w:t>o si se hace una simple manifestación de inconformidad, tales actuaciones no producen efectos jurídicos tendientes a revocar, confirmar o modificar el acto reclamado</w:t>
      </w:r>
      <w:r w:rsidRPr="00E30CD7">
        <w:rPr>
          <w:rFonts w:ascii="Palatino Linotype" w:hAnsi="Palatino Linotype"/>
          <w:i/>
        </w:rPr>
        <w:t xml:space="preserve"> en amparo, lo que significa consentimiento del mismo por falta de impugnación eficaz.”</w:t>
      </w:r>
    </w:p>
    <w:p w:rsid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Énfasis añadido.</w:t>
      </w:r>
    </w:p>
    <w:p w:rsidR="00E30CD7" w:rsidRPr="00E30CD7" w:rsidRDefault="00E30CD7" w:rsidP="00E30CD7">
      <w:pPr>
        <w:pStyle w:val="Sinespaciado"/>
        <w:ind w:left="851" w:right="567"/>
        <w:jc w:val="both"/>
        <w:rPr>
          <w:rFonts w:ascii="Palatino Linotype" w:hAnsi="Palatino Linotype" w:cs="Arial"/>
          <w:i/>
        </w:rPr>
      </w:pPr>
    </w:p>
    <w:p w:rsidR="00E30CD7" w:rsidRPr="00E30CD7" w:rsidRDefault="00E30CD7" w:rsidP="00E30CD7">
      <w:pPr>
        <w:pStyle w:val="Sinespaciado"/>
        <w:ind w:left="851" w:right="567"/>
        <w:jc w:val="both"/>
        <w:rPr>
          <w:rFonts w:ascii="Palatino Linotype" w:hAnsi="Palatino Linotype"/>
          <w:i/>
        </w:rPr>
      </w:pPr>
      <w:r w:rsidRPr="00E30CD7">
        <w:rPr>
          <w:rFonts w:ascii="Palatino Linotype" w:hAnsi="Palatino Linotype"/>
          <w:i/>
        </w:rPr>
        <w:t>Por otra parte, respecto a la respuesta emitida por la Directora de la División de Ingeniería Industrial y de Sistemas de la Universidad Politécnica del Valle de Toluca con la respuesta proporcionada se advierte que asume genera, administra y poseer la información en comento, motivo por el cual se omitirá insertar la fuente obligacional, por lo que en el presente asunto este Órgano Garante procederá a analizar si la información en comento satisface el requerimiento del impetrante.</w:t>
      </w:r>
      <w:r>
        <w:rPr>
          <w:rFonts w:ascii="Palatino Linotype" w:hAnsi="Palatino Linotype"/>
          <w:i/>
        </w:rPr>
        <w:t>”</w:t>
      </w: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lastRenderedPageBreak/>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651380" w:rsidRPr="00651380"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Pr>
          <w:rFonts w:ascii="Palatino Linotype" w:eastAsia="Calibri" w:hAnsi="Palatino Linotype" w:cs="Times New Roman"/>
          <w:sz w:val="24"/>
          <w:szCs w:val="24"/>
          <w:lang w:val="es-ES" w:eastAsia="es-ES"/>
        </w:rPr>
        <w:t>se arriba a la conclusión que el</w:t>
      </w:r>
      <w:r w:rsidRPr="0001046D">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b/>
          <w:sz w:val="24"/>
          <w:szCs w:val="24"/>
          <w:lang w:val="es-ES" w:eastAsia="es-ES"/>
        </w:rPr>
        <w:t>SUJETO OBLIGADO</w:t>
      </w:r>
      <w:r w:rsidRPr="0001046D">
        <w:rPr>
          <w:rFonts w:ascii="Palatino Linotype" w:eastAsia="Calibri" w:hAnsi="Palatino Linotype" w:cs="Times New Roman"/>
          <w:sz w:val="24"/>
          <w:szCs w:val="24"/>
          <w:lang w:val="es-ES" w:eastAsia="es-ES"/>
        </w:rPr>
        <w:t xml:space="preserve"> </w:t>
      </w:r>
      <w:r w:rsidR="00E30CD7">
        <w:rPr>
          <w:rFonts w:ascii="Palatino Linotype" w:eastAsia="Calibri" w:hAnsi="Palatino Linotype" w:cs="Times New Roman"/>
          <w:sz w:val="24"/>
          <w:szCs w:val="24"/>
          <w:lang w:val="es-ES" w:eastAsia="es-ES"/>
        </w:rPr>
        <w:t>no entregó el documento idóneo para atender la solicitud de información</w:t>
      </w:r>
      <w:r w:rsidRPr="0001046D">
        <w:rPr>
          <w:rFonts w:ascii="Palatino Linotype" w:eastAsia="Calibri" w:hAnsi="Palatino Linotype" w:cs="Times New Roman"/>
          <w:sz w:val="24"/>
          <w:szCs w:val="24"/>
          <w:lang w:val="es-ES" w:eastAsia="es-ES"/>
        </w:rPr>
        <w:t>, t</w:t>
      </w:r>
      <w:r w:rsidR="00260D6C" w:rsidRPr="0001046D">
        <w:rPr>
          <w:rFonts w:ascii="Palatino Linotype" w:eastAsia="Calibri" w:hAnsi="Palatino Linotype" w:cs="Times New Roman"/>
          <w:sz w:val="24"/>
          <w:szCs w:val="24"/>
          <w:lang w:val="es-ES" w:eastAsia="es-ES"/>
        </w:rPr>
        <w:t xml:space="preserve">an es así que al analizar la respuesta emitida se concluyó que </w:t>
      </w:r>
      <w:r w:rsidR="00E6129E">
        <w:rPr>
          <w:rFonts w:ascii="Palatino Linotype" w:eastAsia="Calibri" w:hAnsi="Palatino Linotype" w:cs="Times New Roman"/>
          <w:sz w:val="24"/>
          <w:szCs w:val="24"/>
          <w:lang w:val="es-ES" w:eastAsia="es-ES"/>
        </w:rPr>
        <w:t xml:space="preserve">el documento idóneo resulta ser el </w:t>
      </w:r>
      <w:r w:rsidR="00E6129E">
        <w:rPr>
          <w:rFonts w:ascii="Palatino Linotype" w:eastAsia="Calibri" w:hAnsi="Palatino Linotype" w:cs="Times New Roman"/>
          <w:b/>
          <w:sz w:val="24"/>
          <w:szCs w:val="24"/>
          <w:lang w:val="es-ES" w:eastAsia="es-ES"/>
        </w:rPr>
        <w:t>formato de plan de sesión de clase modelo</w:t>
      </w:r>
      <w:r w:rsidRPr="0001046D">
        <w:rPr>
          <w:rFonts w:ascii="Palatino Linotype" w:eastAsia="Calibri" w:hAnsi="Palatino Linotype" w:cs="Times New Roman"/>
          <w:sz w:val="24"/>
          <w:szCs w:val="24"/>
          <w:lang w:val="es-ES" w:eastAsia="es-ES"/>
        </w:rPr>
        <w:t>,</w:t>
      </w:r>
      <w:r w:rsidR="000F6C81">
        <w:rPr>
          <w:rFonts w:ascii="Palatino Linotype" w:eastAsia="Calibri" w:hAnsi="Palatino Linotype" w:cs="Times New Roman"/>
          <w:sz w:val="24"/>
          <w:szCs w:val="24"/>
          <w:lang w:val="es-ES" w:eastAsia="es-ES"/>
        </w:rPr>
        <w:t xml:space="preserve"> por</w:t>
      </w:r>
      <w:r w:rsidRPr="0001046D">
        <w:rPr>
          <w:rFonts w:ascii="Palatino Linotype" w:eastAsia="Calibri" w:hAnsi="Palatino Linotype" w:cs="Times New Roman"/>
          <w:sz w:val="24"/>
          <w:szCs w:val="24"/>
          <w:lang w:val="es-ES" w:eastAsia="es-ES"/>
        </w:rPr>
        <w:t xml:space="preserve"> </w:t>
      </w:r>
      <w:r w:rsidR="00260D6C" w:rsidRPr="0001046D">
        <w:rPr>
          <w:rFonts w:ascii="Palatino Linotype" w:eastAsia="Calibri" w:hAnsi="Palatino Linotype" w:cs="Times New Roman"/>
          <w:sz w:val="24"/>
          <w:szCs w:val="24"/>
          <w:lang w:val="es-ES" w:eastAsia="es-ES"/>
        </w:rPr>
        <w:t>lo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E6129E">
        <w:rPr>
          <w:rFonts w:ascii="Palatino Linotype" w:eastAsia="Calibri" w:hAnsi="Palatino Linotype" w:cs="Times New Roman"/>
          <w:sz w:val="24"/>
          <w:szCs w:val="24"/>
          <w:lang w:val="es-ES" w:eastAsia="es-ES"/>
        </w:rPr>
        <w:t xml:space="preserve"> actos consentidos, ello sin considerar que la Ponencia </w:t>
      </w:r>
      <w:proofErr w:type="spellStart"/>
      <w:r w:rsidR="00E6129E">
        <w:rPr>
          <w:rFonts w:ascii="Palatino Linotype" w:eastAsia="Calibri" w:hAnsi="Palatino Linotype" w:cs="Times New Roman"/>
          <w:sz w:val="24"/>
          <w:szCs w:val="24"/>
          <w:lang w:val="es-ES" w:eastAsia="es-ES"/>
        </w:rPr>
        <w:t>Resolutora</w:t>
      </w:r>
      <w:proofErr w:type="spellEnd"/>
      <w:r w:rsidR="00E6129E">
        <w:rPr>
          <w:rFonts w:ascii="Palatino Linotype" w:eastAsia="Calibri" w:hAnsi="Palatino Linotype" w:cs="Times New Roman"/>
          <w:sz w:val="24"/>
          <w:szCs w:val="24"/>
          <w:lang w:val="es-ES" w:eastAsia="es-ES"/>
        </w:rPr>
        <w:t xml:space="preserve"> entró al estudio de fondo del asunto e inclusive determinó </w:t>
      </w:r>
      <w:r w:rsidR="00E6129E">
        <w:rPr>
          <w:rFonts w:ascii="Palatino Linotype" w:eastAsia="Calibri" w:hAnsi="Palatino Linotype" w:cs="Times New Roman"/>
          <w:b/>
          <w:sz w:val="24"/>
          <w:szCs w:val="24"/>
          <w:lang w:val="es-ES" w:eastAsia="es-ES"/>
        </w:rPr>
        <w:t>REVOCAR</w:t>
      </w:r>
      <w:r w:rsidR="00E6129E">
        <w:rPr>
          <w:rFonts w:ascii="Palatino Linotype" w:eastAsia="Calibri" w:hAnsi="Palatino Linotype" w:cs="Times New Roman"/>
          <w:sz w:val="24"/>
          <w:szCs w:val="24"/>
          <w:lang w:val="es-ES" w:eastAsia="es-ES"/>
        </w:rPr>
        <w:t xml:space="preserve"> la respuesta primigenia.</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23565938"/>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w:t>
      </w:r>
      <w:r w:rsidRPr="0001046D">
        <w:rPr>
          <w:rFonts w:ascii="Palatino Linotype" w:hAnsi="Palatino Linotype" w:cs="Arial"/>
          <w:sz w:val="24"/>
          <w:szCs w:val="24"/>
        </w:rPr>
        <w:lastRenderedPageBreak/>
        <w:t xml:space="preserve">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46491C" w:rsidRPr="0001046D" w:rsidRDefault="00E6129E" w:rsidP="000F6C81">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 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lastRenderedPageBreak/>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E6129E">
      <w:pPr>
        <w:pStyle w:val="Sinespaciado"/>
        <w:ind w:left="851" w:right="1134"/>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w:t>
      </w:r>
      <w:r w:rsidRPr="00A71441">
        <w:rPr>
          <w:rFonts w:ascii="Palatino Linotype" w:hAnsi="Palatino Linotype" w:cs="Arial"/>
          <w:sz w:val="24"/>
          <w:szCs w:val="24"/>
        </w:rPr>
        <w:lastRenderedPageBreak/>
        <w:t>Muni</w:t>
      </w:r>
      <w:r w:rsidR="00E6129E">
        <w:rPr>
          <w:rFonts w:ascii="Palatino Linotype" w:hAnsi="Palatino Linotype" w:cs="Arial"/>
          <w:sz w:val="24"/>
          <w:szCs w:val="24"/>
        </w:rPr>
        <w:t xml:space="preserve">cipios a los actos consentidos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w:t>
      </w:r>
      <w:r w:rsidRPr="00E6129E">
        <w:rPr>
          <w:rFonts w:ascii="Palatino Linotype" w:hAnsi="Palatino Linotype" w:cs="Arial"/>
          <w:b/>
          <w:sz w:val="24"/>
          <w:szCs w:val="24"/>
          <w:u w:val="single"/>
        </w:rPr>
        <w:t xml:space="preserve">suplencia </w:t>
      </w:r>
      <w:r w:rsidRPr="00E6129E">
        <w:rPr>
          <w:rFonts w:ascii="Palatino Linotype" w:hAnsi="Palatino Linotype" w:cs="Arial"/>
          <w:b/>
          <w:szCs w:val="24"/>
          <w:u w:val="single"/>
        </w:rPr>
        <w:t>de la queja</w:t>
      </w:r>
      <w:r w:rsidRPr="009156AC">
        <w:rPr>
          <w:rFonts w:ascii="Palatino Linotype" w:hAnsi="Palatino Linotype" w:cs="Arial"/>
          <w:szCs w:val="24"/>
        </w:rPr>
        <w:t>,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w:t>
      </w:r>
      <w:r w:rsidRPr="0001046D">
        <w:rPr>
          <w:rFonts w:ascii="Palatino Linotype" w:hAnsi="Palatino Linotype" w:cs="Arial"/>
          <w:sz w:val="24"/>
          <w:szCs w:val="24"/>
        </w:rPr>
        <w:lastRenderedPageBreak/>
        <w:t>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A012A0" w:rsidRPr="0001046D" w:rsidRDefault="00A012A0" w:rsidP="00E34F08">
      <w:pPr>
        <w:spacing w:line="360" w:lineRule="auto"/>
        <w:jc w:val="center"/>
        <w:rPr>
          <w:rFonts w:ascii="Palatino Linotype" w:hAnsi="Palatino Linotype"/>
        </w:rPr>
      </w:pPr>
      <w:r>
        <w:rPr>
          <w:rFonts w:ascii="Palatino Linotype" w:hAnsi="Palatino Linotype"/>
          <w:b/>
          <w:sz w:val="24"/>
          <w:szCs w:val="24"/>
        </w:rPr>
        <w:t>(Rúbrica)</w:t>
      </w:r>
    </w:p>
    <w:p w:rsidR="00B62486" w:rsidRDefault="00B62486"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bookmarkStart w:id="3" w:name="_GoBack"/>
      <w:bookmarkEnd w:id="3"/>
    </w:p>
    <w:sectPr w:rsidR="00575478" w:rsidRPr="0001046D"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7F3" w:rsidRDefault="00FC37F3" w:rsidP="00E706DA">
      <w:pPr>
        <w:spacing w:after="0" w:line="240" w:lineRule="auto"/>
      </w:pPr>
      <w:r>
        <w:separator/>
      </w:r>
    </w:p>
  </w:endnote>
  <w:endnote w:type="continuationSeparator" w:id="0">
    <w:p w:rsidR="00FC37F3" w:rsidRDefault="00FC37F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73A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73ABF">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73ABF">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473A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73A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7F3" w:rsidRDefault="00FC37F3" w:rsidP="00E706DA">
      <w:pPr>
        <w:spacing w:after="0" w:line="240" w:lineRule="auto"/>
      </w:pPr>
      <w:r>
        <w:separator/>
      </w:r>
    </w:p>
  </w:footnote>
  <w:footnote w:type="continuationSeparator" w:id="0">
    <w:p w:rsidR="00FC37F3" w:rsidRDefault="00FC37F3"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73A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73A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73A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73A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81"/>
    <w:rsid w:val="000F6CBB"/>
    <w:rsid w:val="00105730"/>
    <w:rsid w:val="00122625"/>
    <w:rsid w:val="00194B6A"/>
    <w:rsid w:val="001D3F34"/>
    <w:rsid w:val="0020315F"/>
    <w:rsid w:val="002036ED"/>
    <w:rsid w:val="00222DD9"/>
    <w:rsid w:val="00225026"/>
    <w:rsid w:val="00260D6C"/>
    <w:rsid w:val="002620E9"/>
    <w:rsid w:val="00281310"/>
    <w:rsid w:val="002C1F75"/>
    <w:rsid w:val="00302832"/>
    <w:rsid w:val="00346DBD"/>
    <w:rsid w:val="00367E00"/>
    <w:rsid w:val="003705BB"/>
    <w:rsid w:val="003747A5"/>
    <w:rsid w:val="003837C2"/>
    <w:rsid w:val="003D7B9E"/>
    <w:rsid w:val="00412952"/>
    <w:rsid w:val="00413496"/>
    <w:rsid w:val="00424DE3"/>
    <w:rsid w:val="00444048"/>
    <w:rsid w:val="0046491C"/>
    <w:rsid w:val="00473ABF"/>
    <w:rsid w:val="0048490F"/>
    <w:rsid w:val="004F5418"/>
    <w:rsid w:val="00532410"/>
    <w:rsid w:val="00575478"/>
    <w:rsid w:val="005A3267"/>
    <w:rsid w:val="005C79C8"/>
    <w:rsid w:val="005F3760"/>
    <w:rsid w:val="00634736"/>
    <w:rsid w:val="00651380"/>
    <w:rsid w:val="006728FD"/>
    <w:rsid w:val="00673293"/>
    <w:rsid w:val="0069498B"/>
    <w:rsid w:val="006E2606"/>
    <w:rsid w:val="00717C0D"/>
    <w:rsid w:val="0072136B"/>
    <w:rsid w:val="0076241F"/>
    <w:rsid w:val="00770016"/>
    <w:rsid w:val="00790E37"/>
    <w:rsid w:val="007A7FAD"/>
    <w:rsid w:val="007E2CF8"/>
    <w:rsid w:val="00814E97"/>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A012A0"/>
    <w:rsid w:val="00A63717"/>
    <w:rsid w:val="00A71441"/>
    <w:rsid w:val="00AA49F3"/>
    <w:rsid w:val="00AB023D"/>
    <w:rsid w:val="00AB126B"/>
    <w:rsid w:val="00AC381E"/>
    <w:rsid w:val="00AE4797"/>
    <w:rsid w:val="00AE58DA"/>
    <w:rsid w:val="00AF73BC"/>
    <w:rsid w:val="00B120CA"/>
    <w:rsid w:val="00B62486"/>
    <w:rsid w:val="00BC7B0C"/>
    <w:rsid w:val="00BF3534"/>
    <w:rsid w:val="00CE0823"/>
    <w:rsid w:val="00D33AF9"/>
    <w:rsid w:val="00D363F7"/>
    <w:rsid w:val="00D72985"/>
    <w:rsid w:val="00D7508B"/>
    <w:rsid w:val="00DA6B18"/>
    <w:rsid w:val="00DF6F7E"/>
    <w:rsid w:val="00E30CD7"/>
    <w:rsid w:val="00E34F08"/>
    <w:rsid w:val="00E35329"/>
    <w:rsid w:val="00E6129E"/>
    <w:rsid w:val="00E61AB8"/>
    <w:rsid w:val="00E706DA"/>
    <w:rsid w:val="00E83E93"/>
    <w:rsid w:val="00E90EB5"/>
    <w:rsid w:val="00E94FBF"/>
    <w:rsid w:val="00EA2C08"/>
    <w:rsid w:val="00ED288D"/>
    <w:rsid w:val="00ED57EE"/>
    <w:rsid w:val="00EF0C2D"/>
    <w:rsid w:val="00F25783"/>
    <w:rsid w:val="00F45161"/>
    <w:rsid w:val="00F46E78"/>
    <w:rsid w:val="00F857BC"/>
    <w:rsid w:val="00F90F3D"/>
    <w:rsid w:val="00FC37F3"/>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2018-09-25T00:29:00Z</cp:lastPrinted>
  <dcterms:created xsi:type="dcterms:W3CDTF">2018-10-29T18:34:00Z</dcterms:created>
  <dcterms:modified xsi:type="dcterms:W3CDTF">2018-10-29T18:34:00Z</dcterms:modified>
</cp:coreProperties>
</file>